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E2AE4" w:rsidRDefault="00000000">
      <w:pPr>
        <w:spacing w:after="0" w:line="240" w:lineRule="auto"/>
        <w:jc w:val="center"/>
        <w:rPr>
          <w:rFonts w:ascii="Century Gothic" w:eastAsia="Century Gothic" w:hAnsi="Century Gothic" w:cs="Century Gothic"/>
          <w:sz w:val="32"/>
          <w:szCs w:val="32"/>
        </w:rPr>
      </w:pPr>
      <w:r>
        <w:rPr>
          <w:rFonts w:ascii="Century Gothic" w:eastAsia="Century Gothic" w:hAnsi="Century Gothic" w:cs="Century Gothic"/>
          <w:b/>
          <w:bCs/>
          <w:sz w:val="32"/>
          <w:szCs w:val="32"/>
        </w:rPr>
        <w:t>DÉCLARATION DES ORGANISATIONS ET ACTEURS DE LA VEILLE CITOYENNE DE L’ESPACE AES</w:t>
      </w:r>
    </w:p>
    <w:p w14:paraId="00000002" w14:textId="77777777" w:rsidR="006E2AE4" w:rsidRDefault="00000000">
      <w:pPr>
        <w:spacing w:after="0" w:line="240" w:lineRule="auto"/>
        <w:jc w:val="center"/>
        <w:rPr>
          <w:rFonts w:ascii="Century Gothic" w:eastAsia="Century Gothic" w:hAnsi="Century Gothic" w:cs="Century Gothic"/>
          <w:sz w:val="28"/>
          <w:szCs w:val="28"/>
        </w:rPr>
      </w:pPr>
      <w:r>
        <w:rPr>
          <w:rFonts w:ascii="Century Gothic" w:eastAsia="Century Gothic" w:hAnsi="Century Gothic" w:cs="Century Gothic"/>
          <w:b/>
          <w:bCs/>
          <w:sz w:val="28"/>
          <w:szCs w:val="28"/>
        </w:rPr>
        <w:t>Adressée à la Délégation de l’Union européenne au Burkina Faso</w:t>
      </w:r>
    </w:p>
    <w:p w14:paraId="00000003" w14:textId="77777777" w:rsidR="006E2AE4" w:rsidRDefault="006E2AE4">
      <w:pPr>
        <w:spacing w:after="0" w:line="360" w:lineRule="auto"/>
        <w:rPr>
          <w:rFonts w:ascii="Century Gothic" w:eastAsia="Century Gothic" w:hAnsi="Century Gothic" w:cs="Century Gothic"/>
          <w:sz w:val="32"/>
          <w:szCs w:val="32"/>
        </w:rPr>
      </w:pPr>
    </w:p>
    <w:p w14:paraId="00000004" w14:textId="77777777" w:rsidR="006E2AE4" w:rsidRDefault="00000000">
      <w:pPr>
        <w:spacing w:after="0" w:line="240" w:lineRule="auto"/>
        <w:rPr>
          <w:rFonts w:ascii="Century Gothic" w:eastAsia="Century Gothic" w:hAnsi="Century Gothic" w:cs="Century Gothic"/>
          <w:sz w:val="28"/>
          <w:szCs w:val="28"/>
        </w:rPr>
      </w:pPr>
      <w:r>
        <w:rPr>
          <w:rFonts w:ascii="Century Gothic" w:eastAsia="Century Gothic" w:hAnsi="Century Gothic" w:cs="Century Gothic"/>
          <w:b/>
          <w:bCs/>
          <w:sz w:val="28"/>
          <w:szCs w:val="28"/>
        </w:rPr>
        <w:t xml:space="preserve">                                                À la Délégation de l’Union européenne </w:t>
      </w:r>
    </w:p>
    <w:p w14:paraId="00000005" w14:textId="77777777" w:rsidR="006E2AE4" w:rsidRDefault="00000000">
      <w:pPr>
        <w:spacing w:after="0" w:line="240" w:lineRule="auto"/>
        <w:ind w:left="5664"/>
        <w:rPr>
          <w:rFonts w:ascii="Century Gothic" w:eastAsia="Century Gothic" w:hAnsi="Century Gothic" w:cs="Century Gothic"/>
          <w:sz w:val="32"/>
          <w:szCs w:val="32"/>
        </w:rPr>
      </w:pPr>
      <w:r>
        <w:rPr>
          <w:rFonts w:ascii="Century Gothic" w:eastAsia="Century Gothic" w:hAnsi="Century Gothic" w:cs="Century Gothic"/>
          <w:b/>
          <w:bCs/>
          <w:sz w:val="28"/>
          <w:szCs w:val="28"/>
        </w:rPr>
        <w:t>à Ouagadougou</w:t>
      </w:r>
    </w:p>
    <w:p w14:paraId="00000006" w14:textId="77777777" w:rsidR="006E2AE4" w:rsidRDefault="006E2AE4">
      <w:pPr>
        <w:spacing w:after="0" w:line="240" w:lineRule="auto"/>
        <w:jc w:val="both"/>
        <w:rPr>
          <w:rFonts w:ascii="Century Gothic" w:eastAsia="Century Gothic" w:hAnsi="Century Gothic" w:cs="Century Gothic"/>
          <w:sz w:val="32"/>
          <w:szCs w:val="32"/>
        </w:rPr>
      </w:pPr>
    </w:p>
    <w:p w14:paraId="00000007"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 xml:space="preserve">Nous, organisations et acteurs de la veille citoyenne de la Confédération des Etats du Sahel, réunis devant le siège de l'Union Européenne à Ouagadougou, prenons la parole pour protester solennellement contre la récente Résolution adoptée par le Parlement européen. </w:t>
      </w:r>
    </w:p>
    <w:p w14:paraId="00000008" w14:textId="77777777" w:rsidR="006E2AE4" w:rsidRDefault="006E2AE4">
      <w:pPr>
        <w:spacing w:after="0" w:line="240" w:lineRule="auto"/>
        <w:jc w:val="both"/>
        <w:rPr>
          <w:rFonts w:ascii="Century Gothic" w:eastAsia="Century Gothic" w:hAnsi="Century Gothic" w:cs="Century Gothic"/>
          <w:sz w:val="28"/>
          <w:szCs w:val="28"/>
        </w:rPr>
      </w:pPr>
    </w:p>
    <w:p w14:paraId="00000009"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En effet, le 12 mars 2026, le Parlement de l’Union européenne a adopté une résolution exigeant la libération de l’ancien président nigérien Mohamed Bazoum. Par cet acte, l’Union européenne se rend coupable d’une ingérence politique manifeste dans les affaires internes d’un État souverain.</w:t>
      </w:r>
    </w:p>
    <w:p w14:paraId="0000000A" w14:textId="77777777" w:rsidR="006E2AE4" w:rsidRDefault="006E2AE4">
      <w:pPr>
        <w:spacing w:after="0" w:line="240" w:lineRule="auto"/>
        <w:jc w:val="both"/>
        <w:rPr>
          <w:rFonts w:ascii="Century Gothic" w:eastAsia="Century Gothic" w:hAnsi="Century Gothic" w:cs="Century Gothic"/>
          <w:sz w:val="28"/>
          <w:szCs w:val="28"/>
        </w:rPr>
      </w:pPr>
    </w:p>
    <w:p w14:paraId="0000000B"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lastRenderedPageBreak/>
        <w:t>Cette résolution constitue une violation flagrante du principe de non-ingérence. Elle est une remise en cause manifeste de la souveraineté d’un État membre de l’AES et une tentative de pression politique inacceptable sur des peuples libres et souverains.</w:t>
      </w:r>
    </w:p>
    <w:p w14:paraId="0000000C" w14:textId="77777777" w:rsidR="006E2AE4" w:rsidRDefault="006E2AE4">
      <w:pPr>
        <w:spacing w:after="0" w:line="240" w:lineRule="auto"/>
        <w:jc w:val="both"/>
        <w:rPr>
          <w:rFonts w:ascii="Century Gothic" w:eastAsia="Century Gothic" w:hAnsi="Century Gothic" w:cs="Century Gothic"/>
          <w:sz w:val="28"/>
          <w:szCs w:val="28"/>
        </w:rPr>
      </w:pPr>
    </w:p>
    <w:p w14:paraId="0000000D"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Ici et maintenant, nous déclarons sans équivoque que :</w:t>
      </w:r>
    </w:p>
    <w:p w14:paraId="0000000E" w14:textId="77777777" w:rsidR="006E2AE4" w:rsidRDefault="00000000">
      <w:pPr>
        <w:numPr>
          <w:ilvl w:val="0"/>
          <w:numId w:val="1"/>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Les peuples de la Confédération AES ne sont sous la tutelle d’aucune puissance ;</w:t>
      </w:r>
    </w:p>
    <w:p w14:paraId="0000000F" w14:textId="77777777" w:rsidR="006E2AE4" w:rsidRDefault="00000000">
      <w:pPr>
        <w:numPr>
          <w:ilvl w:val="0"/>
          <w:numId w:val="1"/>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Les peuples de la Confédération AES n’acceptent plus d’injonctions extérieures ;</w:t>
      </w:r>
    </w:p>
    <w:p w14:paraId="00000010" w14:textId="77777777" w:rsidR="006E2AE4" w:rsidRDefault="00000000">
      <w:pPr>
        <w:numPr>
          <w:ilvl w:val="0"/>
          <w:numId w:val="1"/>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Les peuples de la Confédération AES ne recevront plus d’ordres de personne.</w:t>
      </w:r>
    </w:p>
    <w:p w14:paraId="00000011" w14:textId="77777777" w:rsidR="006E2AE4" w:rsidRDefault="006E2AE4">
      <w:pPr>
        <w:spacing w:after="0" w:line="240" w:lineRule="auto"/>
        <w:jc w:val="both"/>
        <w:rPr>
          <w:rFonts w:ascii="Century Gothic" w:eastAsia="Century Gothic" w:hAnsi="Century Gothic" w:cs="Century Gothic"/>
          <w:sz w:val="28"/>
          <w:szCs w:val="28"/>
        </w:rPr>
      </w:pPr>
    </w:p>
    <w:p w14:paraId="00000012"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Toute tentative visant à imposer des choix politiques à nos États est désormais considérée comme une atteinte grave à notre souveraineté collective.</w:t>
      </w:r>
    </w:p>
    <w:p w14:paraId="00000013" w14:textId="77777777" w:rsidR="006E2AE4" w:rsidRDefault="006E2AE4">
      <w:pPr>
        <w:spacing w:after="0" w:line="240" w:lineRule="auto"/>
        <w:jc w:val="both"/>
        <w:rPr>
          <w:rFonts w:ascii="Century Gothic" w:eastAsia="Century Gothic" w:hAnsi="Century Gothic" w:cs="Century Gothic"/>
          <w:sz w:val="28"/>
          <w:szCs w:val="28"/>
        </w:rPr>
      </w:pPr>
    </w:p>
    <w:p w14:paraId="00000014" w14:textId="2E8E0C80"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 xml:space="preserve">Nous affirmons avec responsabilité que cette résolution ne relève pas d’une préoccupation sincère pour les principes démocratiques. Elle s’inscrit dans une logique de défense d’intérêts géostratégiques et économiques aujourd’hui remis en cause par l’affirmation de la souveraineté de nos </w:t>
      </w:r>
      <w:r>
        <w:rPr>
          <w:rFonts w:ascii="Century Gothic" w:eastAsia="Century Gothic" w:hAnsi="Century Gothic" w:cs="Century Gothic"/>
          <w:sz w:val="28"/>
          <w:szCs w:val="28"/>
        </w:rPr>
        <w:lastRenderedPageBreak/>
        <w:t xml:space="preserve">États dans une dynamique de rupture totale avec les pratiques néocoloniales et impérialistes. </w:t>
      </w:r>
    </w:p>
    <w:p w14:paraId="00000015" w14:textId="77777777" w:rsidR="006E2AE4" w:rsidRDefault="006E2AE4">
      <w:pPr>
        <w:spacing w:after="0" w:line="240" w:lineRule="auto"/>
        <w:jc w:val="both"/>
        <w:rPr>
          <w:rFonts w:ascii="Century Gothic" w:eastAsia="Century Gothic" w:hAnsi="Century Gothic" w:cs="Century Gothic"/>
          <w:sz w:val="28"/>
          <w:szCs w:val="28"/>
        </w:rPr>
      </w:pPr>
    </w:p>
    <w:p w14:paraId="00000016"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Sachez que nos Etats sont engagés dans une dynamique d’autodétermination, de reconquête et de réappropriation de nos ressources, une dynamique de quête irréversible de l’indépendance politique réelle.</w:t>
      </w:r>
    </w:p>
    <w:p w14:paraId="00000017" w14:textId="77777777" w:rsidR="006E2AE4" w:rsidRDefault="006E2AE4">
      <w:pPr>
        <w:spacing w:after="0" w:line="240" w:lineRule="auto"/>
        <w:jc w:val="both"/>
        <w:rPr>
          <w:rFonts w:ascii="Century Gothic" w:eastAsia="Century Gothic" w:hAnsi="Century Gothic" w:cs="Century Gothic"/>
          <w:sz w:val="28"/>
          <w:szCs w:val="28"/>
        </w:rPr>
      </w:pPr>
    </w:p>
    <w:p w14:paraId="00000018"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Par la présente, nous adressons à l’Union européenne et particulièrement à la France manœuvrière, une mise en demeure politique claire. Vous devez :</w:t>
      </w:r>
    </w:p>
    <w:p w14:paraId="00000019" w14:textId="77777777" w:rsidR="006E2AE4" w:rsidRDefault="00000000">
      <w:pPr>
        <w:numPr>
          <w:ilvl w:val="0"/>
          <w:numId w:val="2"/>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cesser immédiatement toute forme d’ingérence dans les affaires internes des États de l’AES ;</w:t>
      </w:r>
    </w:p>
    <w:p w14:paraId="0000001A" w14:textId="77777777" w:rsidR="006E2AE4" w:rsidRDefault="00000000">
      <w:pPr>
        <w:numPr>
          <w:ilvl w:val="0"/>
          <w:numId w:val="2"/>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respecter strictement la souveraineté et les choix politiques des peuples du Burkina Faso, du Mali et du Niger ;</w:t>
      </w:r>
    </w:p>
    <w:p w14:paraId="0000001B" w14:textId="77777777" w:rsidR="006E2AE4" w:rsidRDefault="00000000">
      <w:pPr>
        <w:numPr>
          <w:ilvl w:val="0"/>
          <w:numId w:val="2"/>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renoncer à toute tentative de pression ou de manipulation visant à influencer les trajectoires politiques de nos États.</w:t>
      </w:r>
    </w:p>
    <w:p w14:paraId="0000001C" w14:textId="77777777" w:rsidR="006E2AE4" w:rsidRDefault="006E2AE4">
      <w:pPr>
        <w:spacing w:after="0" w:line="240" w:lineRule="auto"/>
        <w:jc w:val="both"/>
        <w:rPr>
          <w:rFonts w:ascii="Century Gothic" w:eastAsia="Century Gothic" w:hAnsi="Century Gothic" w:cs="Century Gothic"/>
          <w:sz w:val="28"/>
          <w:szCs w:val="28"/>
        </w:rPr>
      </w:pPr>
    </w:p>
    <w:p w14:paraId="0000001D"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 xml:space="preserve">Nous attirons l’attention de l’Union européenne sur les conséquences politiques de la poursuite de telles pratiques. </w:t>
      </w:r>
    </w:p>
    <w:p w14:paraId="0000001E"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lastRenderedPageBreak/>
        <w:t xml:space="preserve">Toute persistance dans l’ingérence ne fera que renforcer la défiance des peuples de l’AES. </w:t>
      </w:r>
    </w:p>
    <w:p w14:paraId="0000001F"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Elle compromettra durablement toute perspective de coopération fondée sur le respect mutuel.</w:t>
      </w:r>
    </w:p>
    <w:p w14:paraId="00000020"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Elle accélérera la rupture entre nos peuples et les institutions qui s’inscrivent dans ces logiques.</w:t>
      </w:r>
    </w:p>
    <w:p w14:paraId="00000021" w14:textId="77777777" w:rsidR="006E2AE4" w:rsidRDefault="006E2AE4">
      <w:pPr>
        <w:spacing w:after="0" w:line="240" w:lineRule="auto"/>
        <w:jc w:val="both"/>
        <w:rPr>
          <w:rFonts w:ascii="Century Gothic" w:eastAsia="Century Gothic" w:hAnsi="Century Gothic" w:cs="Century Gothic"/>
          <w:sz w:val="28"/>
          <w:szCs w:val="28"/>
        </w:rPr>
      </w:pPr>
    </w:p>
    <w:p w14:paraId="00000022"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Nous rappelons avec force que :</w:t>
      </w:r>
    </w:p>
    <w:p w14:paraId="00000023" w14:textId="77777777" w:rsidR="006E2AE4" w:rsidRDefault="00000000">
      <w:pPr>
        <w:numPr>
          <w:ilvl w:val="0"/>
          <w:numId w:val="3"/>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 Niger appartient aux Nigériens ;</w:t>
      </w:r>
    </w:p>
    <w:p w14:paraId="00000024" w14:textId="77777777" w:rsidR="006E2AE4" w:rsidRDefault="00000000">
      <w:pPr>
        <w:numPr>
          <w:ilvl w:val="0"/>
          <w:numId w:val="3"/>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 Burkina Faso appartient aux Burkinabè ;</w:t>
      </w:r>
    </w:p>
    <w:p w14:paraId="00000025" w14:textId="77777777" w:rsidR="006E2AE4" w:rsidRDefault="00000000">
      <w:pPr>
        <w:numPr>
          <w:ilvl w:val="0"/>
          <w:numId w:val="3"/>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Le Mali appartient aux Maliens ;</w:t>
      </w:r>
    </w:p>
    <w:p w14:paraId="00000026" w14:textId="77777777" w:rsidR="006E2AE4" w:rsidRDefault="00000000">
      <w:pPr>
        <w:numPr>
          <w:ilvl w:val="0"/>
          <w:numId w:val="3"/>
        </w:numPr>
        <w:pBdr>
          <w:top w:val="nil"/>
          <w:left w:val="nil"/>
          <w:bottom w:val="nil"/>
          <w:right w:val="nil"/>
          <w:between w:val="nil"/>
        </w:pBdr>
        <w:spacing w:after="0" w:line="240" w:lineRule="auto"/>
        <w:jc w:val="both"/>
        <w:rPr>
          <w:color w:val="000000"/>
          <w:sz w:val="28"/>
          <w:szCs w:val="28"/>
        </w:rPr>
      </w:pPr>
      <w:r>
        <w:rPr>
          <w:rFonts w:ascii="Century Gothic" w:eastAsia="Century Gothic" w:hAnsi="Century Gothic" w:cs="Century Gothic"/>
          <w:color w:val="000000"/>
          <w:sz w:val="28"/>
          <w:szCs w:val="28"/>
        </w:rPr>
        <w:t>Et l'AES appartient aux AESiens.</w:t>
      </w:r>
    </w:p>
    <w:p w14:paraId="00000027" w14:textId="77777777" w:rsidR="006E2AE4" w:rsidRDefault="006E2AE4">
      <w:pPr>
        <w:spacing w:after="0" w:line="240" w:lineRule="auto"/>
        <w:jc w:val="both"/>
        <w:rPr>
          <w:rFonts w:ascii="Century Gothic" w:eastAsia="Century Gothic" w:hAnsi="Century Gothic" w:cs="Century Gothic"/>
          <w:sz w:val="28"/>
          <w:szCs w:val="28"/>
        </w:rPr>
      </w:pPr>
    </w:p>
    <w:p w14:paraId="00000028"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Aucune institution extérieure ne peut se substituer à la volonté des peuples.</w:t>
      </w:r>
    </w:p>
    <w:p w14:paraId="00000029"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La souveraineté n’est pas négociable.</w:t>
      </w:r>
    </w:p>
    <w:p w14:paraId="0000002A"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Elle ne se discute pas.</w:t>
      </w:r>
    </w:p>
    <w:p w14:paraId="0000002B"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Elle s’impose.</w:t>
      </w:r>
    </w:p>
    <w:p w14:paraId="0000002C" w14:textId="77777777" w:rsidR="006E2AE4" w:rsidRDefault="006E2AE4">
      <w:pPr>
        <w:spacing w:after="0" w:line="240" w:lineRule="auto"/>
        <w:jc w:val="both"/>
        <w:rPr>
          <w:rFonts w:ascii="Century Gothic" w:eastAsia="Century Gothic" w:hAnsi="Century Gothic" w:cs="Century Gothic"/>
          <w:sz w:val="28"/>
          <w:szCs w:val="28"/>
        </w:rPr>
      </w:pPr>
    </w:p>
    <w:p w14:paraId="0000002D"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Peuple de l’AES,</w:t>
      </w:r>
    </w:p>
    <w:p w14:paraId="0000002E"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Partenaires internationaux,</w:t>
      </w:r>
    </w:p>
    <w:p w14:paraId="0000002F" w14:textId="77777777" w:rsidR="006E2AE4" w:rsidRDefault="006E2AE4">
      <w:pPr>
        <w:spacing w:after="0" w:line="240" w:lineRule="auto"/>
        <w:jc w:val="both"/>
        <w:rPr>
          <w:rFonts w:ascii="Century Gothic" w:eastAsia="Century Gothic" w:hAnsi="Century Gothic" w:cs="Century Gothic"/>
          <w:sz w:val="28"/>
          <w:szCs w:val="28"/>
        </w:rPr>
      </w:pPr>
    </w:p>
    <w:p w14:paraId="00000030"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La Confédération des États du Sahel est engagée dans une dynamique historique de refondation.</w:t>
      </w:r>
    </w:p>
    <w:p w14:paraId="00000031"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lastRenderedPageBreak/>
        <w:t>Cette dynamique est légitime ;</w:t>
      </w:r>
    </w:p>
    <w:p w14:paraId="00000032"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Cette dynamique est assumée ;</w:t>
      </w:r>
    </w:p>
    <w:p w14:paraId="00000033"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sz w:val="28"/>
          <w:szCs w:val="28"/>
        </w:rPr>
        <w:t>Cette dynamique est irréversible !</w:t>
      </w:r>
    </w:p>
    <w:p w14:paraId="00000034" w14:textId="77777777" w:rsidR="006E2AE4" w:rsidRDefault="006E2AE4">
      <w:pPr>
        <w:spacing w:after="0" w:line="240" w:lineRule="auto"/>
        <w:jc w:val="both"/>
        <w:rPr>
          <w:rFonts w:ascii="Century Gothic" w:eastAsia="Century Gothic" w:hAnsi="Century Gothic" w:cs="Century Gothic"/>
          <w:sz w:val="28"/>
          <w:szCs w:val="28"/>
        </w:rPr>
      </w:pPr>
    </w:p>
    <w:p w14:paraId="00000035"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AES : Un espace, un peuple, un destin !</w:t>
      </w:r>
    </w:p>
    <w:p w14:paraId="00000036" w14:textId="77777777" w:rsidR="006E2AE4" w:rsidRDefault="006E2AE4">
      <w:pPr>
        <w:spacing w:after="0" w:line="240" w:lineRule="auto"/>
        <w:jc w:val="both"/>
        <w:rPr>
          <w:rFonts w:ascii="Century Gothic" w:eastAsia="Century Gothic" w:hAnsi="Century Gothic" w:cs="Century Gothic"/>
          <w:sz w:val="28"/>
          <w:szCs w:val="28"/>
        </w:rPr>
      </w:pPr>
    </w:p>
    <w:p w14:paraId="00000037"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Vive le Burkina Faso !</w:t>
      </w:r>
    </w:p>
    <w:p w14:paraId="00000038"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Vive le Mali !</w:t>
      </w:r>
    </w:p>
    <w:p w14:paraId="00000039"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Vive le Niger !</w:t>
      </w:r>
    </w:p>
    <w:p w14:paraId="0000003A"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Vive la Confédération des États du Sahel !</w:t>
      </w:r>
    </w:p>
    <w:p w14:paraId="0000003B" w14:textId="77777777" w:rsidR="006E2AE4" w:rsidRDefault="006E2AE4">
      <w:pPr>
        <w:spacing w:after="0" w:line="240" w:lineRule="auto"/>
        <w:jc w:val="both"/>
        <w:rPr>
          <w:rFonts w:ascii="Century Gothic" w:eastAsia="Century Gothic" w:hAnsi="Century Gothic" w:cs="Century Gothic"/>
          <w:sz w:val="28"/>
          <w:szCs w:val="28"/>
        </w:rPr>
      </w:pPr>
    </w:p>
    <w:p w14:paraId="0000003C" w14:textId="77777777" w:rsidR="006E2AE4" w:rsidRDefault="00000000">
      <w:pPr>
        <w:spacing w:after="0" w:line="240" w:lineRule="auto"/>
        <w:jc w:val="both"/>
        <w:rPr>
          <w:rFonts w:ascii="Century Gothic" w:eastAsia="Century Gothic" w:hAnsi="Century Gothic" w:cs="Century Gothic"/>
          <w:sz w:val="28"/>
          <w:szCs w:val="28"/>
        </w:rPr>
      </w:pPr>
      <w:r>
        <w:rPr>
          <w:rFonts w:ascii="Century Gothic" w:eastAsia="Century Gothic" w:hAnsi="Century Gothic" w:cs="Century Gothic"/>
          <w:b/>
          <w:bCs/>
          <w:sz w:val="28"/>
          <w:szCs w:val="28"/>
        </w:rPr>
        <w:t>La Patrie ou la Mort, nous vaincrons !</w:t>
      </w:r>
    </w:p>
    <w:p w14:paraId="0000003D" w14:textId="77777777" w:rsidR="006E2AE4" w:rsidRDefault="006E2AE4">
      <w:pPr>
        <w:spacing w:after="0" w:line="240" w:lineRule="auto"/>
        <w:jc w:val="both"/>
        <w:rPr>
          <w:rFonts w:ascii="Century Gothic" w:eastAsia="Century Gothic" w:hAnsi="Century Gothic" w:cs="Century Gothic"/>
          <w:sz w:val="28"/>
          <w:szCs w:val="28"/>
        </w:rPr>
      </w:pPr>
    </w:p>
    <w:p w14:paraId="0000003E" w14:textId="77777777" w:rsidR="006E2AE4" w:rsidRDefault="00000000">
      <w:pPr>
        <w:spacing w:after="0" w:line="240" w:lineRule="auto"/>
        <w:jc w:val="right"/>
        <w:rPr>
          <w:rFonts w:ascii="Century Gothic" w:eastAsia="Century Gothic" w:hAnsi="Century Gothic" w:cs="Century Gothic"/>
          <w:sz w:val="28"/>
          <w:szCs w:val="28"/>
        </w:rPr>
      </w:pPr>
      <w:r>
        <w:rPr>
          <w:rFonts w:ascii="Century Gothic" w:eastAsia="Century Gothic" w:hAnsi="Century Gothic" w:cs="Century Gothic"/>
          <w:sz w:val="28"/>
          <w:szCs w:val="28"/>
        </w:rPr>
        <w:t>Fait à Ouagadougou, le 28 mars 2026</w:t>
      </w:r>
    </w:p>
    <w:p w14:paraId="0000003F" w14:textId="77777777" w:rsidR="006E2AE4" w:rsidRDefault="006E2AE4">
      <w:pPr>
        <w:spacing w:after="0" w:line="240" w:lineRule="auto"/>
        <w:jc w:val="right"/>
        <w:rPr>
          <w:rFonts w:ascii="Century Gothic" w:eastAsia="Century Gothic" w:hAnsi="Century Gothic" w:cs="Century Gothic"/>
          <w:sz w:val="28"/>
          <w:szCs w:val="28"/>
        </w:rPr>
      </w:pPr>
    </w:p>
    <w:p w14:paraId="00000040" w14:textId="77777777" w:rsidR="006E2AE4" w:rsidRDefault="00000000">
      <w:pPr>
        <w:spacing w:after="0" w:line="240" w:lineRule="auto"/>
        <w:jc w:val="right"/>
        <w:rPr>
          <w:rFonts w:ascii="Century Gothic" w:eastAsia="Century Gothic" w:hAnsi="Century Gothic" w:cs="Century Gothic"/>
          <w:sz w:val="28"/>
          <w:szCs w:val="28"/>
        </w:rPr>
      </w:pPr>
      <w:r>
        <w:rPr>
          <w:rFonts w:ascii="Century Gothic" w:eastAsia="Century Gothic" w:hAnsi="Century Gothic" w:cs="Century Gothic"/>
          <w:sz w:val="28"/>
          <w:szCs w:val="28"/>
        </w:rPr>
        <w:t xml:space="preserve">Pour les organisations et acteurs de la veille citoyenne </w:t>
      </w:r>
    </w:p>
    <w:p w14:paraId="00000041" w14:textId="77777777" w:rsidR="006E2AE4" w:rsidRDefault="00000000">
      <w:pPr>
        <w:spacing w:after="0" w:line="240" w:lineRule="auto"/>
        <w:jc w:val="right"/>
        <w:rPr>
          <w:rFonts w:ascii="Century Gothic" w:eastAsia="Century Gothic" w:hAnsi="Century Gothic" w:cs="Century Gothic"/>
          <w:sz w:val="28"/>
          <w:szCs w:val="28"/>
        </w:rPr>
      </w:pPr>
      <w:r>
        <w:rPr>
          <w:rFonts w:ascii="Century Gothic" w:eastAsia="Century Gothic" w:hAnsi="Century Gothic" w:cs="Century Gothic"/>
          <w:sz w:val="28"/>
          <w:szCs w:val="28"/>
        </w:rPr>
        <w:t xml:space="preserve">du Burkina Faso, du Mali et du Niger </w:t>
      </w:r>
    </w:p>
    <w:p w14:paraId="00000042" w14:textId="77777777" w:rsidR="006E2AE4" w:rsidRDefault="006E2AE4">
      <w:pPr>
        <w:spacing w:after="0" w:line="240" w:lineRule="auto"/>
        <w:jc w:val="both"/>
        <w:rPr>
          <w:rFonts w:ascii="Century Gothic" w:eastAsia="Century Gothic" w:hAnsi="Century Gothic" w:cs="Century Gothic"/>
          <w:sz w:val="28"/>
          <w:szCs w:val="28"/>
        </w:rPr>
      </w:pPr>
    </w:p>
    <w:p w14:paraId="00000043" w14:textId="77777777" w:rsidR="006E2AE4" w:rsidRDefault="006E2AE4">
      <w:pPr>
        <w:spacing w:after="0" w:line="240" w:lineRule="auto"/>
        <w:jc w:val="both"/>
        <w:rPr>
          <w:rFonts w:ascii="Century Gothic" w:eastAsia="Century Gothic" w:hAnsi="Century Gothic" w:cs="Century Gothic"/>
          <w:sz w:val="28"/>
          <w:szCs w:val="28"/>
        </w:rPr>
      </w:pPr>
    </w:p>
    <w:sectPr w:rsidR="006E2AE4">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502040504020204"/>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422C39"/>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5D042EF0"/>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6FCA6DF2"/>
    <w:multiLevelType w:val="multilevel"/>
    <w:tmpl w:val="FFFFFFFF"/>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841549082">
    <w:abstractNumId w:val="1"/>
  </w:num>
  <w:num w:numId="2" w16cid:durableId="1700006934">
    <w:abstractNumId w:val="2"/>
  </w:num>
  <w:num w:numId="3" w16cid:durableId="642662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AE4"/>
    <w:rsid w:val="00111092"/>
    <w:rsid w:val="002D4029"/>
    <w:rsid w:val="003875E0"/>
    <w:rsid w:val="006E2AE4"/>
    <w:rsid w:val="007323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DF294C3"/>
  <w15:docId w15:val="{CDC65CEF-F32E-7743-BA2E-6D7A7592B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bCs/>
      <w:sz w:val="48"/>
      <w:szCs w:val="48"/>
    </w:rPr>
  </w:style>
  <w:style w:type="paragraph" w:styleId="Titre2">
    <w:name w:val="heading 2"/>
    <w:basedOn w:val="Normal"/>
    <w:next w:val="Normal"/>
    <w:uiPriority w:val="9"/>
    <w:semiHidden/>
    <w:unhideWhenUsed/>
    <w:qFormat/>
    <w:pPr>
      <w:keepNext/>
      <w:keepLines/>
      <w:spacing w:before="360" w:after="80"/>
      <w:outlineLvl w:val="1"/>
    </w:pPr>
    <w:rPr>
      <w:b/>
      <w:bCs/>
      <w:sz w:val="36"/>
      <w:szCs w:val="36"/>
    </w:rPr>
  </w:style>
  <w:style w:type="paragraph" w:styleId="Titre3">
    <w:name w:val="heading 3"/>
    <w:basedOn w:val="Normal"/>
    <w:next w:val="Normal"/>
    <w:uiPriority w:val="9"/>
    <w:semiHidden/>
    <w:unhideWhenUsed/>
    <w:qFormat/>
    <w:pPr>
      <w:keepNext/>
      <w:keepLines/>
      <w:spacing w:before="280" w:after="80"/>
      <w:outlineLvl w:val="2"/>
    </w:pPr>
    <w:rPr>
      <w:b/>
      <w:bCs/>
      <w:sz w:val="28"/>
      <w:szCs w:val="28"/>
    </w:rPr>
  </w:style>
  <w:style w:type="paragraph" w:styleId="Titre4">
    <w:name w:val="heading 4"/>
    <w:basedOn w:val="Normal"/>
    <w:next w:val="Normal"/>
    <w:uiPriority w:val="9"/>
    <w:semiHidden/>
    <w:unhideWhenUsed/>
    <w:qFormat/>
    <w:pPr>
      <w:keepNext/>
      <w:keepLines/>
      <w:spacing w:before="240" w:after="40"/>
      <w:outlineLvl w:val="3"/>
    </w:pPr>
    <w:rPr>
      <w:b/>
      <w:bCs/>
      <w:sz w:val="24"/>
      <w:szCs w:val="24"/>
    </w:rPr>
  </w:style>
  <w:style w:type="paragraph" w:styleId="Titre5">
    <w:name w:val="heading 5"/>
    <w:basedOn w:val="Normal"/>
    <w:next w:val="Normal"/>
    <w:uiPriority w:val="9"/>
    <w:semiHidden/>
    <w:unhideWhenUsed/>
    <w:qFormat/>
    <w:pPr>
      <w:keepNext/>
      <w:keepLines/>
      <w:spacing w:before="220" w:after="40"/>
      <w:outlineLvl w:val="4"/>
    </w:pPr>
    <w:rPr>
      <w:b/>
      <w:bCs/>
    </w:rPr>
  </w:style>
  <w:style w:type="paragraph" w:styleId="Titre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bCs/>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593</Words>
  <Characters>3264</Characters>
  <Application>Microsoft Office Word</Application>
  <DocSecurity>0</DocSecurity>
  <Lines>27</Lines>
  <Paragraphs>7</Paragraphs>
  <ScaleCrop>false</ScaleCrop>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Gilbert P. OUEDRAOGO</cp:lastModifiedBy>
  <cp:revision>2</cp:revision>
  <dcterms:created xsi:type="dcterms:W3CDTF">2026-03-27T23:31:00Z</dcterms:created>
  <dcterms:modified xsi:type="dcterms:W3CDTF">2026-03-27T23:31:00Z</dcterms:modified>
</cp:coreProperties>
</file>